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unit-7---project-summary"/>
    <w:p>
      <w:pPr>
        <w:pStyle w:val="Heading1"/>
        <w:jc w:val="center"/>
        <w:spacing w:before="0" w:after="280"/>
      </w:pPr>
      <w:r>
        <w:rPr>
          <w:b/>
          <w:sz w:val="40"/>
          <w:szCs w:val="40"/>
        </w:rPr>
        <w:t xml:space="preserve">Unit 7 - Project Summary</w:t>
      </w:r>
    </w:p>
    <w:bookmarkStart w:id="20" w:name="Xc5b23a9595e66ec7d060ea1976b9eecf185e040"/>
    <w:p>
      <w:pPr>
        <w:pStyle w:val="Heading2"/>
        <w:jc w:val="center"/>
        <w:spacing w:after="280"/>
      </w:pPr>
      <w:r>
        <w:rPr>
          <w:i/>
          <w:sz w:val="24"/>
          <w:szCs w:val="24"/>
        </w:rPr>
        <w:t xml:space="preserve">CER: Applied AI Pathways and Small Business Technology Center</w:t>
      </w:r>
    </w:p>
    <w:bookmarkEnd w:id="20"/>
    <w:bookmarkStart w:id="21" w:name="overview"/>
    <w:p>
      <w:pPr>
        <w:pStyle w:val="Heading2"/>
      </w:pPr>
      <w:r>
        <w:t xml:space="preserve">Overview</w:t>
      </w:r>
    </w:p>
    <w:p>
      <w:pPr/>
      <w:r>
        <w:t xml:space="preserve">Artificial intelligence education is often written as if the main path into the field is advanced mathematics, machine learning, data science, or algorithms-first computer science. Those pathways matter, but they are not the whole future of AI work. Many organizations also need people who can understand workflows, use AI tools responsibly, evaluate models and tools, work with intelligent agents, direct AI-assisted development, compare options, communicate with nontechnical users, and know when AI should not be used.</w:t>
      </w:r>
    </w:p>
    <w:p>
      <w:pPr/>
      <w:r>
        <w:t xml:space="preserve">Anne Arundel Community College will design, pilot, evaluate, and share a non-transfer applied AI degree pathway that prepares students for that kind of work while generating CER knowledge about how applied AI competence can be defined, taught, and measured for non-CS-track community-college learners. The project will teach practical AI through real programming foundations, embedded quantitative reasoning, responsible AI, workflow analysis, model/tool evaluation, AI-assisted development /</w:t>
      </w:r>
      <w:r>
        <w:t xml:space="preserve"> </w:t>
      </w:r>
      <w:r>
        <w:t xml:space="preserve">“</w:t>
      </w:r>
      <w:r>
        <w:t xml:space="preserve">vibe coding,</w:t>
      </w:r>
      <w:r>
        <w:t xml:space="preserve">”</w:t>
      </w:r>
      <w:r>
        <w:t xml:space="preserve"> </w:t>
      </w:r>
      <w:r>
        <w:t xml:space="preserve">human-in-the-loop judgment, and supervised practice in a Small Business Technology Center.</w:t>
      </w:r>
    </w:p>
    <w:p>
      <w:pPr/>
      <w:r>
        <w:t xml:space="preserve">The Center will function as a small business technology center for learning: local small businesses will bring bounded questions about emerging technologies or workflow improvement, and students will work on appropriate projects only after readiness checks and under supervision. The Center is not a free consulting service. It is the applied learning environment that helps students practice real AI work while giving businesses a safer way to explore AI.</w:t>
      </w:r>
    </w:p>
    <w:p>
      <w:pPr/>
      <w:r>
        <w:t xml:space="preserve">The current working plan is a four-year project:</w:t>
      </w:r>
    </w:p>
    <w:p>
      <w:pPr/>
      <w:r>
        <w:t xml:space="preserve">Year 1: design the degree pathway, curriculum, embedded math/programming sequence, evaluation plan, and Center rules;</w:t>
      </w:r>
    </w:p>
    <w:p>
      <w:pPr/>
      <w:r>
        <w:t xml:space="preserve">Year 2: build the Center cycle, partner pipeline, readiness tools, and launch supports, without describing the Center as fully running yet;</w:t>
      </w:r>
    </w:p>
    <w:p>
      <w:pPr/>
      <w:r>
        <w:t xml:space="preserve">Year 3: run the main student-facing pathway and supervised Center work as readiness allows; and</w:t>
      </w:r>
    </w:p>
    <w:p>
      <w:pPr/>
      <w:r>
        <w:t xml:space="preserve">Year 4: complete the Center cycle, evaluate results, refine materials, and share best practices.</w:t>
      </w:r>
    </w:p>
    <w:bookmarkEnd w:id="21"/>
    <w:bookmarkStart w:id="22" w:name="intellectual-merit"/>
    <w:p>
      <w:pPr>
        <w:pStyle w:val="Heading2"/>
      </w:pPr>
      <w:r>
        <w:t xml:space="preserve">Intellectual Merit</w:t>
      </w:r>
    </w:p>
    <w:p>
      <w:pPr/>
      <w:r>
        <w:t xml:space="preserve">The intellectual merit of this project is the knowledge it will generate about how community colleges can define, teach, and measure applied AI competence in a rigorous but accessible way.</w:t>
      </w:r>
    </w:p>
    <w:p>
      <w:pPr/>
      <w:r>
        <w:t xml:space="preserve">The project asks a practical research question: how can students who may not begin with advanced math preparation still build credible applied AI competence when math, programming, responsible AI, and workflow thinking are taught in context, and how can that competence be reliably measured?</w:t>
      </w:r>
    </w:p>
    <w:p>
      <w:pPr/>
      <w:r>
        <w:t xml:space="preserve">The project will study:</w:t>
      </w:r>
    </w:p>
    <w:p>
      <w:pPr/>
      <w:r>
        <w:t xml:space="preserve">how to structure a non-transfer applied AI degree pathway;</w:t>
      </w:r>
    </w:p>
    <w:p>
      <w:pPr/>
      <w:r>
        <w:t xml:space="preserve">what constitutes applied AI competence for non-CS-track learners;</w:t>
      </w:r>
    </w:p>
    <w:p>
      <w:pPr/>
      <w:r>
        <w:t xml:space="preserve">how to measure applied AI competence using rubrics, performance tasks, and self-efficacy instruments;</w:t>
      </w:r>
    </w:p>
    <w:p>
      <w:pPr/>
      <w:r>
        <w:t xml:space="preserve">where programming and embedded math should appear in the sequence;</w:t>
      </w:r>
    </w:p>
    <w:p>
      <w:pPr/>
      <w:r>
        <w:t xml:space="preserve">how embedded instruction compares with prerequisite-first sequencing;</w:t>
      </w:r>
    </w:p>
    <w:p>
      <w:pPr/>
      <w:r>
        <w:t xml:space="preserve">how students move from coursework into supervised Center projects;</w:t>
      </w:r>
    </w:p>
    <w:p>
      <w:pPr/>
      <w:r>
        <w:t xml:space="preserve">what readiness evidence should be required before partner-facing work;</w:t>
      </w:r>
    </w:p>
    <w:p>
      <w:pPr/>
      <w:r>
        <w:t xml:space="preserve">which small-business AI project types are educationally useful and safe;</w:t>
      </w:r>
    </w:p>
    <w:p>
      <w:pPr/>
      <w:r>
        <w:t xml:space="preserve">how students learn responsible AI reasoning in authentic settings; and</w:t>
      </w:r>
    </w:p>
    <w:p>
      <w:pPr/>
      <w:r>
        <w:t xml:space="preserve">what staffing, timing, technology, and partner supports make the model repeatable.</w:t>
      </w:r>
    </w:p>
    <w:p>
      <w:pPr/>
      <w:r>
        <w:t xml:space="preserve">Evaluation will involve AACC’s PRIA office and a future external evaluator selected after award through the required procurement process. Evidence will include student work, rubrics, readiness checks, Center records, partner feedback, student reflections, faculty notes, and evaluation findings.</w:t>
      </w:r>
    </w:p>
    <w:p>
      <w:pPr/>
      <w:r>
        <w:t xml:space="preserve">The expected intellectual contribution is a validated applied-AI-competence framework and measurement toolkit, plus a set of best practices for community-college applied AI education: how to design the pathway, teach the needed math and programming in context, run a supervised Center cycle, and evaluate student readiness for real applied AI work.</w:t>
      </w:r>
    </w:p>
    <w:bookmarkEnd w:id="22"/>
    <w:bookmarkStart w:id="23" w:name="broader-impacts"/>
    <w:p>
      <w:pPr>
        <w:pStyle w:val="Heading2"/>
      </w:pPr>
      <w:r>
        <w:t xml:space="preserve">Broader Impacts</w:t>
      </w:r>
    </w:p>
    <w:p>
      <w:pPr/>
      <w:r>
        <w:t xml:space="preserve">The project will broaden participation in AI by creating a more accessible route into applied AI careers for community-college students. The pathway is not a shortcut around technical learning. Students will learn programming, quantitative reasoning, responsible AI, workflow analysis, and communication, but they will learn those skills through practical AI work rather than through a math-heavy gatekeeping sequence.</w:t>
      </w:r>
    </w:p>
    <w:p>
      <w:pPr/>
      <w:r>
        <w:t xml:space="preserve">Students will gain:</w:t>
      </w:r>
    </w:p>
    <w:p>
      <w:pPr/>
      <w:r>
        <w:t xml:space="preserve">a clearer degree pathway into applied AI work;</w:t>
      </w:r>
    </w:p>
    <w:p>
      <w:pPr/>
      <w:r>
        <w:t xml:space="preserve">practice with programming, AI tools, workflow automation, and intelligent agents;</w:t>
      </w:r>
    </w:p>
    <w:p>
      <w:pPr/>
      <w:r>
        <w:t xml:space="preserve">supervised experience with real small-business questions;</w:t>
      </w:r>
    </w:p>
    <w:p>
      <w:pPr/>
      <w:r>
        <w:t xml:space="preserve">portfolio-ready work products; and</w:t>
      </w:r>
    </w:p>
    <w:p>
      <w:pPr/>
      <w:r>
        <w:t xml:space="preserve">stronger confidence communicating AI recommendations responsibly.</w:t>
      </w:r>
    </w:p>
    <w:p>
      <w:pPr/>
      <w:r>
        <w:t xml:space="preserve">Local small businesses will gain a safer way to explore emerging technology, AI readiness, and workflow-improvement questions. The project will document that benefit through broader-impact indicators such as problems scoped, deliverables adopted, businesses reporting changed AI practices, and follow-on engagement. AACC will gain a stronger applied AI workforce pathway and a repeatable Center model. Other community colleges will gain practical best practices, templates, rubrics, and implementation guidance they can adapt.</w:t>
      </w:r>
    </w:p>
    <w:p>
      <w:pPr/>
      <w:r>
        <w:t xml:space="preserve">In plain terms, the project helps students, helps local businesses, and helps the field learn how to build applied AI education for practical learners and real communities, not only for students who already look like advanced machine-learning specialists.</w:t>
      </w:r>
    </w:p>
    <w:bookmarkEnd w:id="23"/>
    <w:bookmarkEnd w:id="24"/>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Final Unit 1 Intellectual Merit Worksheet</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2026-06-30T16:15:04Z</dcterms:created>
  <dcterms:modified xsi:type="dcterms:W3CDTF">2026-06-30T16:15:04Z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ies>
</file>