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8" w:name="source-of-truth-project-brief"/>
    <w:p>
      <w:pPr>
        <w:pStyle w:val="Heading1"/>
        <w:jc w:val="center"/>
        <w:spacing w:before="0" w:after="280"/>
      </w:pPr>
      <w:r>
        <w:rPr>
          <w:b/>
          <w:sz w:val="40"/>
          <w:szCs w:val="40"/>
        </w:rPr>
        <w:t xml:space="preserve">Source-of-Truth Project Brief</w:t>
      </w:r>
    </w:p>
    <w:bookmarkStart w:id="20" w:name="X56d23c01c914d93774f399dede177feca48c954"/>
    <w:p>
      <w:pPr>
        <w:pStyle w:val="Heading2"/>
        <w:jc w:val="center"/>
        <w:spacing w:after="280"/>
      </w:pPr>
      <w:r>
        <w:rPr>
          <w:i/>
          <w:sz w:val="24"/>
          <w:szCs w:val="24"/>
        </w:rPr>
        <w:t xml:space="preserve">Applied AI Pathways and Small Business Technology Center</w:t>
      </w:r>
    </w:p>
    <w:p>
      <w:pPr/>
      <w:r>
        <w:t xml:space="preserve">Plain-language control document updated after Angelo’s June 30 CER concept narrative v2.</w:t>
      </w:r>
    </w:p>
    <w:p>
      <w:pPr/>
      <w:r>
        <w:t xml:space="preserve">This pass treats</w:t>
      </w:r>
      <w:r>
        <w:t xml:space="preserve"> </w:t>
      </w:r>
      <w:r>
        <w:rPr>
          <w:rStyle w:val="VerbatimChar"/>
        </w:rPr>
        <w:t xml:space="preserve">proposal/notes/2026-06-30_Angelo_CER_Concept_Narrative_v2.md</w:t>
      </w:r>
      <w:r>
        <w:t xml:space="preserve"> </w:t>
      </w:r>
      <w:r>
        <w:t xml:space="preserve">as the pivotal source-of-truth document for the research frame, program fit, and PO-facing decision logic.</w:t>
      </w:r>
    </w:p>
    <w:bookmarkEnd w:id="20"/>
    <w:bookmarkStart w:id="21" w:name="control-rule"/>
    <w:p>
      <w:pPr>
        <w:pStyle w:val="Heading2"/>
      </w:pPr>
      <w:r>
        <w:t xml:space="preserve">Control Rule</w:t>
      </w:r>
    </w:p>
    <w:p>
      <w:pPr/>
      <w:r>
        <w:t xml:space="preserve">Use this brief as the current project frame. Angelo’s June 30 CER concept narrative v2 controls the research framing: if older notes or drafts conflict with that document, the June 30 concept narrative v2 wins unless Carlos, Angelo, Christine, Elizabeth, or another formal project authority makes a newer decision.</w:t>
      </w:r>
    </w:p>
    <w:bookmarkEnd w:id="21"/>
    <w:bookmarkStart w:id="22" w:name="Xf9a12f41750a8789a88d1bab1e982384322d2a3"/>
    <w:p>
      <w:pPr>
        <w:pStyle w:val="Heading2"/>
      </w:pPr>
      <w:r>
        <w:t xml:space="preserve">June 30 Angelo CER Concept Narrative v2 Control Update</w:t>
      </w:r>
    </w:p>
    <w:p>
      <w:pPr/>
      <w:r>
        <w:t xml:space="preserve">Angelo’s concept narrative sharpens the proposal from a strong program-build story into a CER research project. The central truth is now:</w:t>
      </w:r>
    </w:p>
    <w:p>
      <w:pPr/>
      <w:r>
        <w:t xml:space="preserve">The project is intended for NSF CISE Future CoRe / Computing Education Research (CER).</w:t>
      </w:r>
    </w:p>
    <w:p>
      <w:pPr/>
      <w:r>
        <w:t xml:space="preserve">The research problem is not merely that AACC needs an AI curriculum. The field lacks a validated construct and measurement approach for applied AI competence among non-CS-track community-college learners.</w:t>
      </w:r>
    </w:p>
    <w:p>
      <w:pPr/>
      <w:r>
        <w:t xml:space="preserve">The project should cultivate and measure applied AI competence through a non-transfer applied AI degree pathway and a supervised Small Business Technology Center.</w:t>
      </w:r>
    </w:p>
    <w:p>
      <w:pPr/>
      <w:r>
        <w:t xml:space="preserve">The need statement should explicitly name the gap between math-first AI/data-science pathways and algorithms-first computer-science pathways.</w:t>
      </w:r>
    </w:p>
    <w:p>
      <w:pPr/>
      <w:r>
        <w:t xml:space="preserve">The applied-competence frame should include agentic AI, workflow automation, model/tool evaluation, responsible human-in-the-loop use, communication with nontechnical stakeholders, and AI-assisted development /</w:t>
      </w:r>
      <w:r>
        <w:t xml:space="preserve"> </w:t>
      </w:r>
      <w:r>
        <w:t xml:space="preserve">“</w:t>
      </w:r>
      <w:r>
        <w:t xml:space="preserve">vibe coding.</w:t>
      </w:r>
      <w:r>
        <w:t xml:space="preserve">”</w:t>
      </w:r>
    </w:p>
    <w:p>
      <w:pPr/>
      <w:r>
        <w:t xml:space="preserve">The method should read as design-based research with an embedded comparative study.</w:t>
      </w:r>
    </w:p>
    <w:p>
      <w:pPr/>
      <w:r>
        <w:t xml:space="preserve">Intellectual merit should emphasize construct definition, validated instruments, comparative evidence on embedded versus prerequisite-first sequencing, and empirical evidence about Center-based responsible-AI judgment.</w:t>
      </w:r>
    </w:p>
    <w:p>
      <w:pPr/>
      <w:r>
        <w:t xml:space="preserve">The Center should be treated as a supervised learning and assessment environment with bounded, screened projects, readiness indicators, and partner feedback.</w:t>
      </w:r>
    </w:p>
    <w:p>
      <w:pPr/>
      <w:r>
        <w:t xml:space="preserve">The optional embodied/physical AI agent element should remain a bounded PO-guidance question, not a robotics deployment or technology-adoption claim.</w:t>
      </w:r>
    </w:p>
    <w:bookmarkEnd w:id="22"/>
    <w:bookmarkStart w:id="23" w:name="june-29-control-update"/>
    <w:p>
      <w:pPr>
        <w:pStyle w:val="Heading2"/>
      </w:pPr>
      <w:r>
        <w:t xml:space="preserve">June 29 Control Update</w:t>
      </w:r>
    </w:p>
    <w:p>
      <w:pPr/>
      <w:r>
        <w:t xml:space="preserve">The newest framing changes are important:</w:t>
      </w:r>
    </w:p>
    <w:p>
      <w:pPr/>
      <w:r>
        <w:t xml:space="preserve">The project should say it is building a non-transfer applied AI degree pathway.</w:t>
      </w:r>
    </w:p>
    <w:p>
      <w:pPr/>
      <w:r>
        <w:t xml:space="preserve">The proposal should explain that applied AI is broader than machine learning and data science.</w:t>
      </w:r>
    </w:p>
    <w:p>
      <w:pPr/>
      <w:r>
        <w:t xml:space="preserve">The pathway should not sound</w:t>
      </w:r>
      <w:r>
        <w:t xml:space="preserve"> </w:t>
      </w:r>
      <w:r>
        <w:t xml:space="preserve">“</w:t>
      </w:r>
      <w:r>
        <w:t xml:space="preserve">no-code.</w:t>
      </w:r>
      <w:r>
        <w:t xml:space="preserve">”</w:t>
      </w:r>
      <w:r>
        <w:t xml:space="preserve"> </w:t>
      </w:r>
      <w:r>
        <w:t xml:space="preserve">It should include real programming and technical foundations, likely including Python or similar coursework.</w:t>
      </w:r>
    </w:p>
    <w:p>
      <w:pPr/>
      <w:r>
        <w:t xml:space="preserve">Advanced mathematics should not be the entry gate. Needed math should be embedded into the actual AI coursework.</w:t>
      </w:r>
    </w:p>
    <w:p>
      <w:pPr/>
      <w:r>
        <w:t xml:space="preserve">The Small Business Technology Center needs a clear cycle: intake, screening, scoping, readiness, supervised work, deliverable, feedback, and improvement.</w:t>
      </w:r>
    </w:p>
    <w:p>
      <w:pPr/>
      <w:r>
        <w:t xml:space="preserve">The project period is four years; Year 4 is strategically required for Center completion, evaluation, refinement, and dissemination.</w:t>
      </w:r>
    </w:p>
    <w:p>
      <w:pPr/>
      <w:r>
        <w:t xml:space="preserve">Year 2 should read as Center/process preparation, not as a fully running partner-facing Center. Student-facing Center work begins in Year 3 as readiness allows.</w:t>
      </w:r>
    </w:p>
    <w:p>
      <w:pPr/>
      <w:r>
        <w:t xml:space="preserve">The phrase</w:t>
      </w:r>
      <w:r>
        <w:t xml:space="preserve"> </w:t>
      </w:r>
      <w:r>
        <w:t xml:space="preserve">“</w:t>
      </w:r>
      <w:r>
        <w:t xml:space="preserve">best practices</w:t>
      </w:r>
      <w:r>
        <w:t xml:space="preserve">”</w:t>
      </w:r>
      <w:r>
        <w:t xml:space="preserve"> </w:t>
      </w:r>
      <w:r>
        <w:t xml:space="preserve">is friendlier and clearer than</w:t>
      </w:r>
      <w:r>
        <w:t xml:space="preserve"> </w:t>
      </w:r>
      <w:r>
        <w:t xml:space="preserve">“</w:t>
      </w:r>
      <w:r>
        <w:t xml:space="preserve">transferable evidence.</w:t>
      </w:r>
      <w:r>
        <w:t xml:space="preserve">”</w:t>
      </w:r>
    </w:p>
    <w:p>
      <w:pPr/>
      <w:r>
        <w:t xml:space="preserve">Local staffing, spending, facilities, and hardware scenarios should stay out of the project summary unless they are essential to the point being made.</w:t>
      </w:r>
    </w:p>
    <w:bookmarkEnd w:id="23"/>
    <w:bookmarkStart w:id="24" w:name="june-29-production-deadlines"/>
    <w:p>
      <w:pPr>
        <w:pStyle w:val="Heading2"/>
      </w:pPr>
      <w:r>
        <w:t xml:space="preserve">June 29 Production Deadlines</w:t>
      </w:r>
    </w:p>
    <w:p>
      <w:pPr/>
      <w:r>
        <w:t xml:space="preserve">These dates control the working packet but should not clutter the PO-facing summary:</w:t>
      </w:r>
    </w:p>
    <w:tbl>
      <w:tblPr>
        <w:tblStyle w:val="TableGrid"/>
        <w:tblW w:type="pct" w:w="5000"/>
        <w:tblLook w:firstRow="1" w:lastRow="0" w:firstColumn="0" w:lastColumn="0" w:noHBand="0" w:noVBand="0" w:val="0020"/>
        <w:jc w:val="start"/>
        <w:tblBorders>
          <w:top w:val="single" w:sz="6" w:color="B7B7B7" w:space="0"/>
          <w:left w:val="single" w:sz="6" w:color="B7B7B7" w:space="0"/>
          <w:bottom w:val="single" w:sz="6" w:color="B7B7B7" w:space="0"/>
          <w:right w:val="single" w:sz="6" w:color="B7B7B7" w:space="0"/>
          <w:insideH w:val="single" w:sz="6" w:color="B7B7B7" w:space="0"/>
          <w:insideV w:val="single" w:sz="6" w:color="B7B7B7" w:space="0"/>
        </w:tblBorders>
        <w:tblCellMar>
          <w:top w:w="86" w:type="dxa"/>
          <w:left w:w="86" w:type="dxa"/>
          <w:bottom w:w="86" w:type="dxa"/>
          <w:right w:w="86" w:type="dxa"/>
        </w:tblCellMar>
      </w:tblPr>
      <w:tblGrid>
        <w:gridCol w:w="3960"/>
        <w:gridCol w:w="3960"/>
      </w:tblGrid>
      <w:tr>
        <w:trPr>
          <w:tblHeader w:val="true"/>
        </w:trPr>
        <w:tc>
          <w:tcPr>
            <w:shd w:val="clear" w:color="auto" w:fill="1F4E79"/>
          </w:tcPr>
          <w:p>
            <w:pPr>
              <w:jc w:val="left"/>
            </w:pPr>
            <w:r>
              <w:rPr>
                <w:sz w:val="16"/>
                <w:szCs w:val="16"/>
                <w:b/>
                <w:color w:val="FFFFFF"/>
              </w:rPr>
              <w:t xml:space="preserve">Date</w:t>
            </w:r>
          </w:p>
        </w:tc>
        <w:tc>
          <w:tcPr>
            <w:shd w:val="clear" w:color="auto" w:fill="1F4E79"/>
          </w:tcPr>
          <w:p>
            <w:pPr>
              <w:jc w:val="left"/>
            </w:pPr>
            <w:r>
              <w:rPr>
                <w:sz w:val="16"/>
                <w:szCs w:val="16"/>
                <w:b/>
                <w:color w:val="FFFFFF"/>
              </w:rPr>
              <w:t xml:space="preserve">Needed action</w:t>
            </w:r>
          </w:p>
        </w:tc>
      </w:tr>
      <w:tr>
        <w:tc>
          <w:tcPr/>
          <w:p>
            <w:pPr>
              <w:jc w:val="left"/>
            </w:pPr>
            <w:r>
              <w:rPr>
                <w:sz w:val="16"/>
                <w:szCs w:val="16"/>
              </w:rPr>
              <w:t xml:space="preserve">July 2, 2026</w:t>
            </w:r>
          </w:p>
        </w:tc>
        <w:tc>
          <w:tcPr/>
          <w:p>
            <w:pPr>
              <w:jc w:val="left"/>
            </w:pPr>
            <w:r>
              <w:rPr>
                <w:sz w:val="16"/>
                <w:szCs w:val="16"/>
              </w:rPr>
              <w:t xml:space="preserve">Identify senior personnel and co-PIs. Verify whether the note meant July 2 or July 20.</w:t>
            </w:r>
          </w:p>
        </w:tc>
      </w:tr>
      <w:tr>
        <w:tc>
          <w:tcPr>
            <w:shd w:val="clear" w:color="auto" w:fill="F4F7FA"/>
          </w:tcPr>
          <w:p>
            <w:pPr>
              <w:jc w:val="left"/>
            </w:pPr>
            <w:r>
              <w:rPr>
                <w:sz w:val="16"/>
                <w:szCs w:val="16"/>
              </w:rPr>
              <w:t xml:space="preserve">July 7, 2026</w:t>
            </w:r>
          </w:p>
        </w:tc>
        <w:tc>
          <w:tcPr>
            <w:shd w:val="clear" w:color="auto" w:fill="F4F7FA"/>
          </w:tcPr>
          <w:p>
            <w:pPr>
              <w:jc w:val="left"/>
            </w:pPr>
            <w:r>
              <w:rPr>
                <w:sz w:val="16"/>
                <w:szCs w:val="16"/>
              </w:rPr>
              <w:t xml:space="preserve">Submit the one-page Project Overview.</w:t>
            </w:r>
          </w:p>
        </w:tc>
      </w:tr>
      <w:tr>
        <w:tc>
          <w:tcPr/>
          <w:p>
            <w:pPr>
              <w:jc w:val="left"/>
            </w:pPr>
            <w:r>
              <w:rPr>
                <w:sz w:val="16"/>
                <w:szCs w:val="16"/>
              </w:rPr>
              <w:t xml:space="preserve">July 7, 2026</w:t>
            </w:r>
          </w:p>
        </w:tc>
        <w:tc>
          <w:tcPr/>
          <w:p>
            <w:pPr>
              <w:jc w:val="left"/>
            </w:pPr>
            <w:r>
              <w:rPr>
                <w:sz w:val="16"/>
                <w:szCs w:val="16"/>
              </w:rPr>
              <w:t xml:space="preserve">Get into the NSF system and review senior/key personnel document requirements.</w:t>
            </w:r>
          </w:p>
        </w:tc>
      </w:tr>
      <w:tr>
        <w:tc>
          <w:tcPr>
            <w:shd w:val="clear" w:color="auto" w:fill="F4F7FA"/>
          </w:tcPr>
          <w:p>
            <w:pPr>
              <w:jc w:val="left"/>
            </w:pPr>
            <w:r>
              <w:rPr>
                <w:sz w:val="16"/>
                <w:szCs w:val="16"/>
              </w:rPr>
              <w:t xml:space="preserve">July 20, 2026</w:t>
            </w:r>
          </w:p>
        </w:tc>
        <w:tc>
          <w:tcPr>
            <w:shd w:val="clear" w:color="auto" w:fill="F4F7FA"/>
          </w:tcPr>
          <w:p>
            <w:pPr>
              <w:jc w:val="left"/>
            </w:pPr>
            <w:r>
              <w:rPr>
                <w:sz w:val="16"/>
                <w:szCs w:val="16"/>
              </w:rPr>
              <w:t xml:space="preserve">Identify partner-letter targets and discuss vendor/subaward issues.</w:t>
            </w:r>
          </w:p>
        </w:tc>
      </w:tr>
      <w:tr>
        <w:tc>
          <w:tcPr/>
          <w:p>
            <w:pPr>
              <w:jc w:val="left"/>
            </w:pPr>
            <w:r>
              <w:rPr>
                <w:sz w:val="16"/>
                <w:szCs w:val="16"/>
              </w:rPr>
              <w:t xml:space="preserve">July 22, 2026</w:t>
            </w:r>
          </w:p>
        </w:tc>
        <w:tc>
          <w:tcPr/>
          <w:p>
            <w:pPr>
              <w:jc w:val="left"/>
            </w:pPr>
            <w:r>
              <w:rPr>
                <w:sz w:val="16"/>
                <w:szCs w:val="16"/>
              </w:rPr>
              <w:t xml:space="preserve">OSP and STEM leadership discussion with Dr. Millner and new VPs.</w:t>
            </w:r>
          </w:p>
        </w:tc>
      </w:tr>
      <w:tr>
        <w:tc>
          <w:tcPr>
            <w:shd w:val="clear" w:color="auto" w:fill="F4F7FA"/>
          </w:tcPr>
          <w:p>
            <w:pPr>
              <w:jc w:val="left"/>
            </w:pPr>
            <w:r>
              <w:rPr>
                <w:sz w:val="16"/>
                <w:szCs w:val="16"/>
              </w:rPr>
              <w:t xml:space="preserve">July 27, 2026</w:t>
            </w:r>
          </w:p>
        </w:tc>
        <w:tc>
          <w:tcPr>
            <w:shd w:val="clear" w:color="auto" w:fill="F4F7FA"/>
          </w:tcPr>
          <w:p>
            <w:pPr>
              <w:jc w:val="left"/>
            </w:pPr>
            <w:r>
              <w:rPr>
                <w:sz w:val="16"/>
                <w:szCs w:val="16"/>
              </w:rPr>
              <w:t xml:space="preserve">Facilities/resources, supplemental docs, biosketches, and current/pending support inputs ready for OSP.</w:t>
            </w:r>
          </w:p>
        </w:tc>
      </w:tr>
      <w:tr>
        <w:tc>
          <w:tcPr/>
          <w:p>
            <w:pPr>
              <w:jc w:val="left"/>
            </w:pPr>
            <w:r>
              <w:rPr>
                <w:sz w:val="16"/>
                <w:szCs w:val="16"/>
              </w:rPr>
              <w:t xml:space="preserve">August 17, 2026</w:t>
            </w:r>
          </w:p>
        </w:tc>
        <w:tc>
          <w:tcPr/>
          <w:p>
            <w:pPr>
              <w:jc w:val="left"/>
            </w:pPr>
            <w:r>
              <w:rPr>
                <w:sz w:val="16"/>
                <w:szCs w:val="16"/>
              </w:rPr>
              <w:t xml:space="preserve">First complete narrative, all components, budgets, and any PSR needs to OSP.</w:t>
            </w:r>
          </w:p>
        </w:tc>
      </w:tr>
      <w:tr>
        <w:tc>
          <w:tcPr>
            <w:shd w:val="clear" w:color="auto" w:fill="F4F7FA"/>
          </w:tcPr>
          <w:p>
            <w:pPr>
              <w:jc w:val="left"/>
            </w:pPr>
            <w:r>
              <w:rPr>
                <w:sz w:val="16"/>
                <w:szCs w:val="16"/>
              </w:rPr>
              <w:t xml:space="preserve">August 26, 2026</w:t>
            </w:r>
          </w:p>
        </w:tc>
        <w:tc>
          <w:tcPr>
            <w:shd w:val="clear" w:color="auto" w:fill="F4F7FA"/>
          </w:tcPr>
          <w:p>
            <w:pPr>
              <w:jc w:val="left"/>
            </w:pPr>
            <w:r>
              <w:rPr>
                <w:sz w:val="16"/>
                <w:szCs w:val="16"/>
              </w:rPr>
              <w:t xml:space="preserve">Sponsored Programs routing begins with a complete budget.</w:t>
            </w:r>
          </w:p>
        </w:tc>
      </w:tr>
      <w:tr>
        <w:tc>
          <w:tcPr/>
          <w:p>
            <w:pPr>
              <w:jc w:val="left"/>
            </w:pPr>
            <w:r>
              <w:rPr>
                <w:sz w:val="16"/>
                <w:szCs w:val="16"/>
              </w:rPr>
              <w:t xml:space="preserve">September 10, 2026</w:t>
            </w:r>
          </w:p>
        </w:tc>
        <w:tc>
          <w:tcPr/>
          <w:p>
            <w:pPr>
              <w:jc w:val="left"/>
            </w:pPr>
            <w:r>
              <w:rPr>
                <w:sz w:val="16"/>
                <w:szCs w:val="16"/>
              </w:rPr>
              <w:t xml:space="preserve">Target NSF submission.</w:t>
            </w:r>
          </w:p>
        </w:tc>
      </w:tr>
    </w:tbl>
    <w:bookmarkEnd w:id="24"/>
    <w:bookmarkStart w:id="25" w:name="one-paragraph-project-frame"/>
    <w:p>
      <w:pPr>
        <w:pStyle w:val="Heading2"/>
      </w:pPr>
      <w:r>
        <w:t xml:space="preserve">One-Paragraph Project Frame</w:t>
      </w:r>
    </w:p>
    <w:p>
      <w:pPr/>
      <w:r>
        <w:t xml:space="preserve">AACC will design, pilot, evaluate, and share a non-transfer applied AI degree pathway that prepares community-college students for practical AI-enabled work while generating CER knowledge about how applied AI competence can be defined, taught, and measured. The pathway will teach applied AI through real programming foundations, embedded quantitative reasoning, responsible AI, workflow analysis, model/tool evaluation, human-in-the-loop judgment, and communication with nontechnical users. A supervised Small Business Technology Center will give students authentic practice with carefully scoped local business questions. The project will use design-based research and an embedded comparative study to develop and validate a competence framework, measurement toolkit, readiness indicators, and best practices that other community colleges can adapt.</w:t>
      </w:r>
    </w:p>
    <w:bookmarkEnd w:id="25"/>
    <w:bookmarkStart w:id="26" w:name="what-the-project-is"/>
    <w:p>
      <w:pPr>
        <w:pStyle w:val="Heading2"/>
      </w:pPr>
      <w:r>
        <w:t xml:space="preserve">What the Project Is</w:t>
      </w:r>
    </w:p>
    <w:p>
      <w:pPr/>
      <w:r>
        <w:t xml:space="preserve">A four-year NSF proposal to build and study an applied AI degree pathway.</w:t>
      </w:r>
    </w:p>
    <w:p>
      <w:pPr/>
      <w:r>
        <w:t xml:space="preserve">A community-college computing education project.</w:t>
      </w:r>
    </w:p>
    <w:p>
      <w:pPr/>
      <w:r>
        <w:t xml:space="preserve">A CER research project about defining and measuring applied AI competence for non-CS-track learners.</w:t>
      </w:r>
    </w:p>
    <w:p>
      <w:pPr/>
      <w:r>
        <w:t xml:space="preserve">A non-transfer degree pathway focused on practical AI work.</w:t>
      </w:r>
    </w:p>
    <w:p>
      <w:pPr/>
      <w:r>
        <w:t xml:space="preserve">A rigorous but accessible model with programming and embedded math.</w:t>
      </w:r>
    </w:p>
    <w:p>
      <w:pPr/>
      <w:r>
        <w:t xml:space="preserve">A supervised Center/practicum model tied to small-business technology questions.</w:t>
      </w:r>
    </w:p>
    <w:p>
      <w:pPr/>
      <w:r>
        <w:t xml:space="preserve">A project that helps local businesses explore emerging technology in a bounded way.</w:t>
      </w:r>
    </w:p>
    <w:p>
      <w:pPr/>
      <w:r>
        <w:t xml:space="preserve">A source of best practices for other community colleges.</w:t>
      </w:r>
    </w:p>
    <w:bookmarkEnd w:id="26"/>
    <w:bookmarkStart w:id="27" w:name="what-the-project-is-not"/>
    <w:p>
      <w:pPr>
        <w:pStyle w:val="Heading2"/>
      </w:pPr>
      <w:r>
        <w:t xml:space="preserve">What the Project Is Not</w:t>
      </w:r>
    </w:p>
    <w:p>
      <w:pPr/>
      <w:r>
        <w:t xml:space="preserve">Not a transfer-degree proposal.</w:t>
      </w:r>
    </w:p>
    <w:p>
      <w:pPr/>
      <w:r>
        <w:t xml:space="preserve">Not a traditional math-heavy machine-learning program.</w:t>
      </w:r>
    </w:p>
    <w:p>
      <w:pPr/>
      <w:r>
        <w:t xml:space="preserve">Not a no-code bootcamp.</w:t>
      </w:r>
    </w:p>
    <w:p>
      <w:pPr/>
      <w:r>
        <w:t xml:space="preserve">Not a free consulting shop.</w:t>
      </w:r>
    </w:p>
    <w:p>
      <w:pPr/>
      <w:r>
        <w:t xml:space="preserve">Not a hardware or facilities proposal.</w:t>
      </w:r>
    </w:p>
    <w:p>
      <w:pPr/>
      <w:r>
        <w:t xml:space="preserve">Not a robotics-centered project, even if emerging automation examples appear.</w:t>
      </w:r>
    </w:p>
    <w:p>
      <w:pPr/>
      <w:r>
        <w:t xml:space="preserve">Not a promise to transform the entire regional economy by itself.</w:t>
      </w:r>
    </w:p>
    <w:bookmarkEnd w:id="27"/>
    <w:bookmarkStart w:id="28" w:name="why-this-matters"/>
    <w:p>
      <w:pPr>
        <w:pStyle w:val="Heading2"/>
      </w:pPr>
      <w:r>
        <w:t xml:space="preserve">Why This Matters</w:t>
      </w:r>
    </w:p>
    <w:p>
      <w:pPr/>
      <w:r>
        <w:t xml:space="preserve">AI education is often split between math-first AI/data-science pathways and algorithms-first computer-science pathways. Those areas matter, but neither fully matches the applied AI work now emerging around agentic AI, workflow automation, model/tool evaluation, AI-assisted development, responsible human-in-the-loop use, communication with nontechnical stakeholders, and practical judgment about whether AI can serve a real business need.</w:t>
      </w:r>
    </w:p>
    <w:p>
      <w:pPr/>
      <w:r>
        <w:t xml:space="preserve">Many community-college students could succeed in those roles if the pathway is designed for applied practice. This project creates that kind of pathway and studies how to make it work.</w:t>
      </w:r>
    </w:p>
    <w:bookmarkEnd w:id="28"/>
    <w:bookmarkStart w:id="29" w:name="degree-pathway"/>
    <w:p>
      <w:pPr>
        <w:pStyle w:val="Heading2"/>
      </w:pPr>
      <w:r>
        <w:t xml:space="preserve">Degree Pathway</w:t>
      </w:r>
    </w:p>
    <w:p>
      <w:pPr/>
      <w:r>
        <w:t xml:space="preserve">The current working frame is a non-transfer applied AI degree pathway.</w:t>
      </w:r>
    </w:p>
    <w:p>
      <w:pPr/>
      <w:r>
        <w:t xml:space="preserve">The pathway should include:</w:t>
      </w:r>
    </w:p>
    <w:p>
      <w:pPr/>
      <w:r>
        <w:t xml:space="preserve">AI foundations;</w:t>
      </w:r>
    </w:p>
    <w:p>
      <w:pPr/>
      <w:r>
        <w:t xml:space="preserve">programming foundations;</w:t>
      </w:r>
    </w:p>
    <w:p>
      <w:pPr/>
      <w:r>
        <w:t xml:space="preserve">embedded quantitative reasoning;</w:t>
      </w:r>
    </w:p>
    <w:p>
      <w:pPr/>
      <w:r>
        <w:t xml:space="preserve">workflow automation;</w:t>
      </w:r>
    </w:p>
    <w:p>
      <w:pPr/>
      <w:r>
        <w:t xml:space="preserve">intelligent agents and AI-assisted business processes;</w:t>
      </w:r>
    </w:p>
    <w:p>
      <w:pPr/>
      <w:r>
        <w:t xml:space="preserve">AI-assisted development /</w:t>
      </w:r>
      <w:r>
        <w:t xml:space="preserve"> </w:t>
      </w:r>
      <w:r>
        <w:t xml:space="preserve">“</w:t>
      </w:r>
      <w:r>
        <w:t xml:space="preserve">vibe coding</w:t>
      </w:r>
      <w:r>
        <w:t xml:space="preserve">”</w:t>
      </w:r>
      <w:r>
        <w:t xml:space="preserve"> </w:t>
      </w:r>
      <w:r>
        <w:t xml:space="preserve">as an applied orchestration skill;</w:t>
      </w:r>
    </w:p>
    <w:p>
      <w:pPr/>
      <w:r>
        <w:t xml:space="preserve">model/tool comparison;</w:t>
      </w:r>
    </w:p>
    <w:p>
      <w:pPr/>
      <w:r>
        <w:t xml:space="preserve">responsible AI, privacy, and human oversight;</w:t>
      </w:r>
    </w:p>
    <w:p>
      <w:pPr/>
      <w:r>
        <w:t xml:space="preserve">communication with nontechnical stakeholders; and</w:t>
      </w:r>
    </w:p>
    <w:p>
      <w:pPr/>
      <w:r>
        <w:t xml:space="preserve">supervised practice through the Center.</w:t>
      </w:r>
    </w:p>
    <w:p>
      <w:pPr/>
      <w:r>
        <w:t xml:space="preserve">The proposal should be specific about capabilities but flexible about exact tools, since AI platforms will change before and during the award period.</w:t>
      </w:r>
    </w:p>
    <w:bookmarkEnd w:id="29"/>
    <w:bookmarkStart w:id="30" w:name="embedded-math-and-programming"/>
    <w:p>
      <w:pPr>
        <w:pStyle w:val="Heading2"/>
      </w:pPr>
      <w:r>
        <w:t xml:space="preserve">Embedded Math and Programming</w:t>
      </w:r>
    </w:p>
    <w:p>
      <w:pPr/>
      <w:r>
        <w:t xml:space="preserve">The proposal should not say or imply that math and programming are unimportant.</w:t>
      </w:r>
    </w:p>
    <w:p>
      <w:pPr/>
      <w:r>
        <w:t xml:space="preserve">The stronger claim is:</w:t>
      </w:r>
    </w:p>
    <w:p>
      <w:pPr/>
      <w:r>
        <w:t xml:space="preserve">students need math and programming for applied AI;</w:t>
      </w:r>
    </w:p>
    <w:p>
      <w:pPr/>
      <w:r>
        <w:t xml:space="preserve">students do not need extensive advanced math prerequisites before they can begin meaningful AI work; and</w:t>
      </w:r>
    </w:p>
    <w:p>
      <w:pPr/>
      <w:r>
        <w:t xml:space="preserve">math and programming should be taught when students can see how they help with AI tasks.</w:t>
      </w:r>
    </w:p>
    <w:bookmarkEnd w:id="30"/>
    <w:bookmarkStart w:id="31" w:name="small-business-technology-center"/>
    <w:p>
      <w:pPr>
        <w:pStyle w:val="Heading2"/>
      </w:pPr>
      <w:r>
        <w:t xml:space="preserve">Small Business Technology Center</w:t>
      </w:r>
    </w:p>
    <w:p>
      <w:pPr/>
      <w:r>
        <w:t xml:space="preserve">The Center is the applied learning environment. It gives students supervised practice and gives businesses a safe way to explore emerging technology.</w:t>
      </w:r>
    </w:p>
    <w:p>
      <w:pPr/>
      <w:r>
        <w:t xml:space="preserve">Working Center cycle:</w:t>
      </w:r>
    </w:p>
    <w:p>
      <w:pPr/>
      <w:r>
        <w:t xml:space="preserve">A business brings a question about AI, workflow, automation, or emerging technology.</w:t>
      </w:r>
    </w:p>
    <w:p>
      <w:pPr/>
      <w:r>
        <w:t xml:space="preserve">The project team screens the question for educational value, scope, data safety, and ethics.</w:t>
      </w:r>
    </w:p>
    <w:p>
      <w:pPr/>
      <w:r>
        <w:t xml:space="preserve">Faculty or staff turn the question into a student-ready project brief.</w:t>
      </w:r>
    </w:p>
    <w:p>
      <w:pPr/>
      <w:r>
        <w:t xml:space="preserve">Students complete coursework and readiness checks.</w:t>
      </w:r>
    </w:p>
    <w:p>
      <w:pPr/>
      <w:r>
        <w:t xml:space="preserve">Students work on the project under supervision.</w:t>
      </w:r>
    </w:p>
    <w:p>
      <w:pPr/>
      <w:r>
        <w:t xml:space="preserve">Students produce a bounded deliverable, such as a memo, workflow map, prototype, checklist, or recommendation.</w:t>
      </w:r>
    </w:p>
    <w:p>
      <w:pPr/>
      <w:r>
        <w:t xml:space="preserve">The project collects partner feedback, student reflection, and faculty notes.</w:t>
      </w:r>
    </w:p>
    <w:p>
      <w:pPr/>
      <w:r>
        <w:t xml:space="preserve">The team improves the course and Center model.</w:t>
      </w:r>
    </w:p>
    <w:bookmarkEnd w:id="31"/>
    <w:bookmarkStart w:id="32" w:name="four-year-working-timeline"/>
    <w:p>
      <w:pPr>
        <w:pStyle w:val="Heading2"/>
      </w:pPr>
      <w:r>
        <w:t xml:space="preserve">Four-Year Working Timeline</w:t>
      </w:r>
    </w:p>
    <w:tbl>
      <w:tblPr>
        <w:tblStyle w:val="TableGrid"/>
        <w:tblW w:type="pct" w:w="5000"/>
        <w:tblLook w:firstRow="1" w:lastRow="0" w:firstColumn="0" w:lastColumn="0" w:noHBand="0" w:noVBand="0" w:val="0020"/>
        <w:jc w:val="start"/>
        <w:tblBorders>
          <w:top w:val="single" w:sz="6" w:color="B7B7B7" w:space="0"/>
          <w:left w:val="single" w:sz="6" w:color="B7B7B7" w:space="0"/>
          <w:bottom w:val="single" w:sz="6" w:color="B7B7B7" w:space="0"/>
          <w:right w:val="single" w:sz="6" w:color="B7B7B7" w:space="0"/>
          <w:insideH w:val="single" w:sz="6" w:color="B7B7B7" w:space="0"/>
          <w:insideV w:val="single" w:sz="6" w:color="B7B7B7" w:space="0"/>
        </w:tblBorders>
        <w:tblCellMar>
          <w:top w:w="86" w:type="dxa"/>
          <w:left w:w="86" w:type="dxa"/>
          <w:bottom w:w="86" w:type="dxa"/>
          <w:right w:w="86" w:type="dxa"/>
        </w:tblCellMar>
      </w:tblPr>
      <w:tblGrid>
        <w:gridCol w:w="2640"/>
        <w:gridCol w:w="2640"/>
        <w:gridCol w:w="2640"/>
      </w:tblGrid>
      <w:tr>
        <w:trPr>
          <w:tblHeader w:val="true"/>
        </w:trPr>
        <w:tc>
          <w:tcPr>
            <w:shd w:val="clear" w:color="auto" w:fill="1F4E79"/>
          </w:tcPr>
          <w:p>
            <w:pPr>
              <w:jc w:val="left"/>
            </w:pPr>
            <w:r>
              <w:rPr>
                <w:sz w:val="16"/>
                <w:szCs w:val="16"/>
                <w:b/>
                <w:color w:val="FFFFFF"/>
              </w:rPr>
              <w:t xml:space="preserve">Year</w:t>
            </w:r>
          </w:p>
        </w:tc>
        <w:tc>
          <w:tcPr>
            <w:shd w:val="clear" w:color="auto" w:fill="1F4E79"/>
          </w:tcPr>
          <w:p>
            <w:pPr>
              <w:jc w:val="left"/>
            </w:pPr>
            <w:r>
              <w:rPr>
                <w:sz w:val="16"/>
                <w:szCs w:val="16"/>
                <w:b/>
                <w:color w:val="FFFFFF"/>
              </w:rPr>
              <w:t xml:space="preserve">Main purpose</w:t>
            </w:r>
          </w:p>
        </w:tc>
        <w:tc>
          <w:tcPr>
            <w:shd w:val="clear" w:color="auto" w:fill="1F4E79"/>
          </w:tcPr>
          <w:p>
            <w:pPr>
              <w:jc w:val="left"/>
            </w:pPr>
            <w:r>
              <w:rPr>
                <w:sz w:val="16"/>
                <w:szCs w:val="16"/>
                <w:b/>
                <w:color w:val="FFFFFF"/>
              </w:rPr>
              <w:t xml:space="preserve">Plain-language description</w:t>
            </w:r>
          </w:p>
        </w:tc>
      </w:tr>
      <w:tr>
        <w:tc>
          <w:tcPr/>
          <w:p>
            <w:pPr>
              <w:jc w:val="left"/>
            </w:pPr>
            <w:r>
              <w:rPr>
                <w:sz w:val="16"/>
                <w:szCs w:val="16"/>
              </w:rPr>
              <w:t xml:space="preserve">Year 1</w:t>
            </w:r>
          </w:p>
        </w:tc>
        <w:tc>
          <w:tcPr/>
          <w:p>
            <w:pPr>
              <w:jc w:val="left"/>
            </w:pPr>
            <w:r>
              <w:rPr>
                <w:sz w:val="16"/>
                <w:szCs w:val="16"/>
              </w:rPr>
              <w:t xml:space="preserve">Design</w:t>
            </w:r>
          </w:p>
        </w:tc>
        <w:tc>
          <w:tcPr/>
          <w:p>
            <w:pPr>
              <w:jc w:val="left"/>
            </w:pPr>
            <w:r>
              <w:rPr>
                <w:sz w:val="16"/>
                <w:szCs w:val="16"/>
              </w:rPr>
              <w:t xml:space="preserve">Build the degree pathway, curriculum plan, embedded math/programming sequence, evaluation plan, and Center rules.</w:t>
            </w:r>
          </w:p>
        </w:tc>
      </w:tr>
      <w:tr>
        <w:tc>
          <w:tcPr>
            <w:shd w:val="clear" w:color="auto" w:fill="F4F7FA"/>
          </w:tcPr>
          <w:p>
            <w:pPr>
              <w:jc w:val="left"/>
            </w:pPr>
            <w:r>
              <w:rPr>
                <w:sz w:val="16"/>
                <w:szCs w:val="16"/>
              </w:rPr>
              <w:t xml:space="preserve">Year 2</w:t>
            </w:r>
          </w:p>
        </w:tc>
        <w:tc>
          <w:tcPr>
            <w:shd w:val="clear" w:color="auto" w:fill="F4F7FA"/>
          </w:tcPr>
          <w:p>
            <w:pPr>
              <w:jc w:val="left"/>
            </w:pPr>
            <w:r>
              <w:rPr>
                <w:sz w:val="16"/>
                <w:szCs w:val="16"/>
              </w:rPr>
              <w:t xml:space="preserve">Prepare</w:t>
            </w:r>
          </w:p>
        </w:tc>
        <w:tc>
          <w:tcPr>
            <w:shd w:val="clear" w:color="auto" w:fill="F4F7FA"/>
          </w:tcPr>
          <w:p>
            <w:pPr>
              <w:jc w:val="left"/>
            </w:pPr>
            <w:r>
              <w:rPr>
                <w:sz w:val="16"/>
                <w:szCs w:val="16"/>
              </w:rPr>
              <w:t xml:space="preserve">Build the Center cycle, partner pipeline, readiness checks, technology supports, and launch structures; do not describe the Center as fully running yet.</w:t>
            </w:r>
          </w:p>
        </w:tc>
      </w:tr>
      <w:tr>
        <w:tc>
          <w:tcPr/>
          <w:p>
            <w:pPr>
              <w:jc w:val="left"/>
            </w:pPr>
            <w:r>
              <w:rPr>
                <w:sz w:val="16"/>
                <w:szCs w:val="16"/>
              </w:rPr>
              <w:t xml:space="preserve">Year 3</w:t>
            </w:r>
          </w:p>
        </w:tc>
        <w:tc>
          <w:tcPr/>
          <w:p>
            <w:pPr>
              <w:jc w:val="left"/>
            </w:pPr>
            <w:r>
              <w:rPr>
                <w:sz w:val="16"/>
                <w:szCs w:val="16"/>
              </w:rPr>
              <w:t xml:space="preserve">Run</w:t>
            </w:r>
          </w:p>
        </w:tc>
        <w:tc>
          <w:tcPr/>
          <w:p>
            <w:pPr>
              <w:jc w:val="left"/>
            </w:pPr>
            <w:r>
              <w:rPr>
                <w:sz w:val="16"/>
                <w:szCs w:val="16"/>
              </w:rPr>
              <w:t xml:space="preserve">Students enter the pathway and supervised Center cycle as readiness allows; the team collects learning and partner evidence.</w:t>
            </w:r>
          </w:p>
        </w:tc>
      </w:tr>
      <w:tr>
        <w:tc>
          <w:tcPr>
            <w:shd w:val="clear" w:color="auto" w:fill="F4F7FA"/>
          </w:tcPr>
          <w:p>
            <w:pPr>
              <w:jc w:val="left"/>
            </w:pPr>
            <w:r>
              <w:rPr>
                <w:sz w:val="16"/>
                <w:szCs w:val="16"/>
              </w:rPr>
              <w:t xml:space="preserve">Year 4</w:t>
            </w:r>
          </w:p>
        </w:tc>
        <w:tc>
          <w:tcPr>
            <w:shd w:val="clear" w:color="auto" w:fill="F4F7FA"/>
          </w:tcPr>
          <w:p>
            <w:pPr>
              <w:jc w:val="left"/>
            </w:pPr>
            <w:r>
              <w:rPr>
                <w:sz w:val="16"/>
                <w:szCs w:val="16"/>
              </w:rPr>
              <w:t xml:space="preserve">Learn and share</w:t>
            </w:r>
          </w:p>
        </w:tc>
        <w:tc>
          <w:tcPr>
            <w:shd w:val="clear" w:color="auto" w:fill="F4F7FA"/>
          </w:tcPr>
          <w:p>
            <w:pPr>
              <w:jc w:val="left"/>
            </w:pPr>
            <w:r>
              <w:rPr>
                <w:sz w:val="16"/>
                <w:szCs w:val="16"/>
              </w:rPr>
              <w:t xml:space="preserve">Students complete the Center cycle, the team analyzes findings, improves materials, and shares best practices.</w:t>
            </w:r>
          </w:p>
        </w:tc>
      </w:tr>
    </w:tbl>
    <w:bookmarkEnd w:id="32"/>
    <w:bookmarkStart w:id="33" w:name="intellectual-merit"/>
    <w:p>
      <w:pPr>
        <w:pStyle w:val="Heading2"/>
      </w:pPr>
      <w:r>
        <w:t xml:space="preserve">Intellectual Merit</w:t>
      </w:r>
    </w:p>
    <w:p>
      <w:pPr/>
      <w:r>
        <w:t xml:space="preserve">The intellectual merit is the knowledge the project will generate about teaching, learning, and measuring applied AI competence at community colleges.</w:t>
      </w:r>
    </w:p>
    <w:p>
      <w:pPr/>
      <w:r>
        <w:t xml:space="preserve">The project will study:</w:t>
      </w:r>
    </w:p>
    <w:p>
      <w:pPr/>
      <w:r>
        <w:t xml:space="preserve">what constitutes applied AI competence for non-CS-track community-college learners;</w:t>
      </w:r>
    </w:p>
    <w:p>
      <w:pPr/>
      <w:r>
        <w:t xml:space="preserve">how that competence can be reliably measured through rubrics, performance tasks, and self-efficacy instruments;</w:t>
      </w:r>
    </w:p>
    <w:p>
      <w:pPr/>
      <w:r>
        <w:t xml:space="preserve">how to structure a non-transfer applied AI degree pathway;</w:t>
      </w:r>
    </w:p>
    <w:p>
      <w:pPr/>
      <w:r>
        <w:t xml:space="preserve">how embedded math and programming compare with prerequisite-first sequencing;</w:t>
      </w:r>
    </w:p>
    <w:p>
      <w:pPr/>
      <w:r>
        <w:t xml:space="preserve">how students move from coursework to supervised Center practice;</w:t>
      </w:r>
    </w:p>
    <w:p>
      <w:pPr/>
      <w:r>
        <w:t xml:space="preserve">what readiness evidence students need before partner-facing work;</w:t>
      </w:r>
    </w:p>
    <w:p>
      <w:pPr/>
      <w:r>
        <w:t xml:space="preserve">which Center projects are useful and safe;</w:t>
      </w:r>
    </w:p>
    <w:p>
      <w:pPr/>
      <w:r>
        <w:t xml:space="preserve">how students learn responsible AI reasoning; and</w:t>
      </w:r>
    </w:p>
    <w:p>
      <w:pPr/>
      <w:r>
        <w:t xml:space="preserve">what conditions make the model repeatable.</w:t>
      </w:r>
    </w:p>
    <w:bookmarkEnd w:id="33"/>
    <w:bookmarkStart w:id="34" w:name="broader-impacts"/>
    <w:p>
      <w:pPr>
        <w:pStyle w:val="Heading2"/>
      </w:pPr>
      <w:r>
        <w:t xml:space="preserve">Broader Impacts</w:t>
      </w:r>
    </w:p>
    <w:p>
      <w:pPr/>
      <w:r>
        <w:t xml:space="preserve">The broader impacts are centered on students, local businesses, and the community-college field.</w:t>
      </w:r>
    </w:p>
    <w:p>
      <w:pPr/>
      <w:r>
        <w:t xml:space="preserve">The project will:</w:t>
      </w:r>
    </w:p>
    <w:p>
      <w:pPr/>
      <w:r>
        <w:t xml:space="preserve">broaden access to applied AI careers;</w:t>
      </w:r>
    </w:p>
    <w:p>
      <w:pPr/>
      <w:r>
        <w:t xml:space="preserve">help students gain technical and professional skills;</w:t>
      </w:r>
    </w:p>
    <w:p>
      <w:pPr/>
      <w:r>
        <w:t xml:space="preserve">give small businesses a safer way to explore emerging technology;</w:t>
      </w:r>
    </w:p>
    <w:p>
      <w:pPr/>
      <w:r>
        <w:t xml:space="preserve">strengthen regional AI workforce preparation;</w:t>
      </w:r>
    </w:p>
    <w:p>
      <w:pPr/>
      <w:r>
        <w:t xml:space="preserve">build AACC’s capacity in applied AI education; and</w:t>
      </w:r>
    </w:p>
    <w:p>
      <w:pPr/>
      <w:r>
        <w:t xml:space="preserve">share best practices, templates, rubrics, and Center tools with others.</w:t>
      </w:r>
    </w:p>
    <w:bookmarkEnd w:id="34"/>
    <w:bookmarkStart w:id="35" w:name="evaluation-frame"/>
    <w:p>
      <w:pPr>
        <w:pStyle w:val="Heading2"/>
      </w:pPr>
      <w:r>
        <w:t xml:space="preserve">Evaluation Frame</w:t>
      </w:r>
    </w:p>
    <w:p>
      <w:pPr/>
      <w:r>
        <w:t xml:space="preserve">Use Christine’s June 26 language as the safe frame.</w:t>
      </w:r>
    </w:p>
    <w:p>
      <w:pPr/>
      <w:r>
        <w:t xml:space="preserve">Evaluation will involve AACC’s PRIA office and a future external evaluator. Because AACC requires external contracts to be awarded through competitive bidding after funding, the proposal should not imply that an external evaluator has already been selected or has shaped the plan for free.</w:t>
      </w:r>
    </w:p>
    <w:p>
      <w:pPr/>
      <w:r>
        <w:t xml:space="preserve">Evaluation should be formative and summative, focused on student learning, embedded math/programming, readiness, Center project fit, responsible AI, partner value, and best practices.</w:t>
      </w:r>
    </w:p>
    <w:bookmarkEnd w:id="35"/>
    <w:bookmarkStart w:id="36" w:name="open-confirmations"/>
    <w:p>
      <w:pPr>
        <w:pStyle w:val="Heading2"/>
      </w:pPr>
      <w:r>
        <w:t xml:space="preserve">Open Confirmations</w:t>
      </w:r>
    </w:p>
    <w:p>
      <w:pPr/>
      <w:r>
        <w:t xml:space="preserve">Confirm whether the PO-facing document should be called Project Summary or Project Overview.</w:t>
      </w:r>
    </w:p>
    <w:p>
      <w:pPr/>
      <w:r>
        <w:t xml:space="preserve">Ask the PO whether the concept is a good CER fit as framed or should be co-reviewed with HCC or another Future CoRe program.</w:t>
      </w:r>
    </w:p>
    <w:p>
      <w:pPr/>
      <w:r>
        <w:t xml:space="preserve">Ask the PO whether the embedded-instruction comparative design is rigorous enough or needs strengthening.</w:t>
      </w:r>
    </w:p>
    <w:p>
      <w:pPr/>
      <w:r>
        <w:t xml:space="preserve">Ask the PO whether the optional embodied/physical AI-agent element strengthens the proposal or should be omitted/pursued separately.</w:t>
      </w:r>
    </w:p>
    <w:p>
      <w:pPr/>
      <w:r>
        <w:t xml:space="preserve">Ask the PO for recent or current CER awards that can serve as scope and budget reference points.</w:t>
      </w:r>
    </w:p>
    <w:p>
      <w:pPr/>
      <w:r>
        <w:t xml:space="preserve">Confirm final PI, co-PI, and key personnel roles.</w:t>
      </w:r>
    </w:p>
    <w:p>
      <w:pPr/>
      <w:r>
        <w:t xml:space="preserve">Confirm exact degree name and curriculum approval path.</w:t>
      </w:r>
    </w:p>
    <w:p>
      <w:pPr/>
      <w:r>
        <w:t xml:space="preserve">Confirm programming course count and embedded math topics.</w:t>
      </w:r>
    </w:p>
    <w:p>
      <w:pPr/>
      <w:r>
        <w:t xml:space="preserve">Confirm Center Coordinator and Student Success Navigator timing.</w:t>
      </w:r>
    </w:p>
    <w:p>
      <w:pPr/>
      <w:r>
        <w:t xml:space="preserve">Confirm external evaluator budget and procurement path.</w:t>
      </w:r>
    </w:p>
    <w:p>
      <w:pPr/>
      <w:r>
        <w:t xml:space="preserve">Confirm technology, space, and FEOR assumptions.</w:t>
      </w:r>
    </w:p>
    <w:p>
      <w:pPr/>
      <w:r>
        <w:t xml:space="preserve">Confirm final wording for Year 2 recruitment/preparation versus Year 3 first partner-facing Center activity.</w:t>
      </w:r>
    </w:p>
    <w:bookmarkEnd w:id="36"/>
    <w:bookmarkStart w:id="37" w:name="friendly-project-summary"/>
    <w:p>
      <w:pPr>
        <w:pStyle w:val="Heading2"/>
      </w:pPr>
      <w:r>
        <w:t xml:space="preserve">Friendly Project Summary</w:t>
      </w:r>
    </w:p>
    <w:p>
      <w:pPr/>
      <w:r>
        <w:t xml:space="preserve">AACC will build and study a practical applied AI degree pathway for community-college students. The pathway will include programming and math, but those skills will be taught through real AI work rather than used as early barriers. Students will practice in a supervised Small Business Technology Center where local businesses bring carefully scoped questions about emerging technology. The project will evaluate what works and share best practices so other colleges can build similar pathways.</w:t>
      </w:r>
    </w:p>
    <w:bookmarkEnd w:id="37"/>
    <w:bookmarkEnd w:id="38"/>
    <w:sectPr w:rsidR="00FC693F" w:rsidRPr="0006063C" w:rsidSect="00034616">
      <w:footerReference w:type="default" r:id="rId9"/>
      <w:pgSz w:w="12240" w:h="15840"/>
      <w:pgMar w:top="1008" w:right="1080" w:bottom="1008" w:left="1080" w:header="720" w:footer="720" w:gutter="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sz w:val="16"/>
      </w:rPr>
      <w:t>Final Unit 1 Intellectual Merit Worksheet</w:t>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footer1.xml" Type="http://schemas.openxmlformats.org/officeDocument/2006/relationships/footer"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2026-06-30T16:14:59Z</dcterms:created>
  <dcterms:modified xsi:type="dcterms:W3CDTF">2026-06-30T16:14:59Z</dcterms:modified>
</cp:coreProperties>
</file>

<file path=docProps/custom.xml><?xml version="1.0" encoding="utf-8"?>
<Properties xmlns="http://schemas.openxmlformats.org/officeDocument/2006/custom-properties" xmlns:vt="http://schemas.openxmlformats.org/officeDocument/2006/docPropsVTypes"/>
</file>