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budget-working-document"/>
    <w:p>
      <w:pPr>
        <w:pStyle w:val="Heading1"/>
        <w:jc w:val="center"/>
        <w:spacing w:before="0" w:after="280"/>
      </w:pPr>
      <w:r>
        <w:rPr>
          <w:b/>
          <w:sz w:val="40"/>
          <w:szCs w:val="40"/>
        </w:rPr>
        <w:t xml:space="preserve">Budget Working Document</w:t>
      </w:r>
    </w:p>
    <w:p>
      <w:pPr>
        <w:jc w:val="center"/>
        <w:spacing w:after="280"/>
      </w:pPr>
      <w:r>
        <w:rPr>
          <w:i/>
          <w:sz w:val="24"/>
          <w:szCs w:val="24"/>
        </w:rPr>
        <w:t xml:space="preserve">Working draft for Christine / Angelo review. Not an approved NSF budget.</w:t>
      </w:r>
    </w:p>
    <w:bookmarkStart w:id="20" w:name="critical-dates"/>
    <w:p>
      <w:pPr>
        <w:pStyle w:val="Heading2"/>
      </w:pPr>
      <w:r>
        <w:t xml:space="preserve">Critical Dates</w:t>
      </w:r>
    </w:p>
    <w:p>
      <w:pPr/>
      <w:r>
        <w:t xml:space="preserve">July 2, 2026: identify senior personnel and co-PIs, or immediately verify whether the intended date was July 20.</w:t>
      </w:r>
    </w:p>
    <w:p>
      <w:pPr/>
      <w:r>
        <w:t xml:space="preserve">July 20, 2026: identify partner-letter targets and any vendor/subaward discussions.</w:t>
      </w:r>
    </w:p>
    <w:p>
      <w:pPr/>
      <w:r>
        <w:t xml:space="preserve">July 27, 2026: facilities/resources, supplemental docs, biosketches, and current/pending support inputs due to OSP.</w:t>
      </w:r>
    </w:p>
    <w:p>
      <w:pPr/>
      <w:r>
        <w:t xml:space="preserve">August 17, 2026: first full package to OSP, including narrative, components, and budget.</w:t>
      </w:r>
    </w:p>
    <w:p>
      <w:pPr/>
      <w:r>
        <w:t xml:space="preserve">August 17, 2026: initiate any PSRs for lab equipment/facilities with Facilities / Richard Ensor.</w:t>
      </w:r>
    </w:p>
    <w:p>
      <w:pPr/>
      <w:r>
        <w:t xml:space="preserve">August 26, 2026: complete NSF package begins Sponsored Programs routing.</w:t>
      </w:r>
    </w:p>
    <w:bookmarkEnd w:id="20"/>
    <w:bookmarkStart w:id="21" w:name="flh-calculation-basis"/>
    <w:p>
      <w:pPr>
        <w:pStyle w:val="Heading2"/>
      </w:pPr>
      <w:r>
        <w:t xml:space="preserve">FLH Calculation Basis</w:t>
      </w:r>
    </w:p>
    <w:p>
      <w:pPr/>
      <w:r>
        <w:t xml:space="preserve">The source notes show the headline FLH formula, but they do not show a clean derivation for the raw 57 / 19 / 6 yearly values.</w:t>
      </w:r>
    </w:p>
    <w:tbl>
      <w:tblPr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2376"/>
        <w:gridCol w:w="3168"/>
        <w:gridCol w:w="2376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Item</w:t>
            </w:r>
          </w:p>
        </w:tc>
        <w:tc>
          <w:tcPr>
            <w:shd w:val="clear" w:color="auto" w:fill="1F4E79"/>
          </w:tcPr>
          <w:p>
            <w:pPr>
              <w:jc w:val="right"/>
            </w:pPr>
            <w:r>
              <w:rPr>
                <w:sz w:val="16"/>
                <w:szCs w:val="16"/>
                <w:b/>
                <w:color w:val="FFFFFF"/>
              </w:rPr>
              <w:t xml:space="preserve">Calculation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Result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Contact hours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32 credits x 15 contact hrs/credit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480 contact hrs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Curriculum development hours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480 contact hrs x 5 development hrs/contact hr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2,400 development hrs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Faculty load hours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2,400 development hrs / 32 hrs per FLH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75 FLH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Faculty-equivalent shorthand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75 FLH / 2.5 faculty equivalents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Implies 30 FLH per faculty equivalent</w:t>
            </w:r>
          </w:p>
        </w:tc>
      </w:tr>
    </w:tbl>
    <w:bookmarkEnd w:id="21"/>
    <w:bookmarkStart w:id="22" w:name="flh-reconciliation"/>
    <w:p>
      <w:pPr>
        <w:pStyle w:val="Heading2"/>
      </w:pPr>
      <w:r>
        <w:t xml:space="preserve">FLH Reconciliation</w:t>
      </w:r>
    </w:p>
    <w:tbl>
      <w:tblPr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2376"/>
        <w:gridCol w:w="3168"/>
        <w:gridCol w:w="2376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Item</w:t>
            </w:r>
          </w:p>
        </w:tc>
        <w:tc>
          <w:tcPr>
            <w:shd w:val="clear" w:color="auto" w:fill="1F4E79"/>
          </w:tcPr>
          <w:p>
            <w:pPr>
              <w:jc w:val="right"/>
            </w:pPr>
            <w:r>
              <w:rPr>
                <w:sz w:val="16"/>
                <w:szCs w:val="16"/>
                <w:b/>
                <w:color w:val="FFFFFF"/>
              </w:rPr>
              <w:t xml:space="preserve">Calculation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Result / issue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Raw year-by-year curriculum FLH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57 + 19 + 6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82 FLH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Difference from 75-FLH anchor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82 - 75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7 FLH over the headline calculation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If 75 FLH controls: Year 1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75 x 70%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52.5 FLH, not 57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If 75 FLH controls: Year 2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75 x 20%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15 FLH, not 19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If 75 FLH controls: Year 3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75 x 10%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7.5 FLH, not 6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If 75 FLH controls: total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52.5 + 15 + 7.5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75 FLH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Reverse-check raw Year 1 base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57 / 70%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81.4 FLH implied base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Reverse-check raw Year 2 base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19 / 20%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95 FLH implied base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Reverse-check raw Year 3 base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6 / 10%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60 FLH implied base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Interpretation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81.4, 95, and 60 do not match each other or the 75-FLH anchor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Treat 57 / 19 / 6 as raw planning values until Christine or Angelo confirms the intended basis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PI/project management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6 FLH/year x 4 years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24 FLH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Center scale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5 teams x 4 students/team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20 students, plus mentors and small-business projects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Navigator duration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0.5 year in Year 2 + 1 year in Year 3 + 1 year in Year 4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2.5 years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Navigator placeholder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$200,000 / 2.5 years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$80,000/year before final salary/fringe treatment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Center Coordinator duration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1 year in Year 3 + 1 year in Year 4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2 years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Center Coordinator placeholder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$150,000 / 2 years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$75,000/year before final salary/fringe treatment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Placeholder direct-cost subtotal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$150,000 + $200,000 + $150,000 + $250,000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$750,000 before indirect costs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Illustrative indirect, if 40% applied to full subtotal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$750,000 x 40%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$300,000; confirm actual IDC rate/base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Illustrative total, if full 40% applies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$750,000 + $300,000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$1,050,000; not final</w:t>
            </w:r>
          </w:p>
        </w:tc>
      </w:tr>
    </w:tbl>
    <w:bookmarkEnd w:id="22"/>
    <w:bookmarkStart w:id="23" w:name="workload-guardrails-from-june-29-notes"/>
    <w:p>
      <w:pPr>
        <w:pStyle w:val="Heading2"/>
      </w:pPr>
      <w:r>
        <w:t xml:space="preserve">Workload Guardrails from June 29 Notes</w:t>
      </w:r>
    </w:p>
    <w:p>
      <w:pPr/>
      <w:r>
        <w:t xml:space="preserve">These are planning cautions, not final budget rules:</w:t>
      </w:r>
    </w:p>
    <w:p>
      <w:pPr/>
      <w:r>
        <w:t xml:space="preserve">Non-teaching FLH cannot be treated as overtime.</w:t>
      </w:r>
    </w:p>
    <w:p>
      <w:pPr/>
      <w:r>
        <w:t xml:space="preserve">Non-teaching work is limited by the 35-hour/week cap.</w:t>
      </w:r>
    </w:p>
    <w:p>
      <w:pPr/>
      <w:r>
        <w:t xml:space="preserve">Summer non-teaching FLH may be limited to 10 FLH.</w:t>
      </w:r>
    </w:p>
    <w:p>
      <w:pPr/>
      <w:r>
        <w:t xml:space="preserve">Pre-award planning should rely on current AACC faculty/staff lanes unless HR, grants, or procurement confirms a different path.</w:t>
      </w:r>
    </w:p>
    <w:bookmarkEnd w:id="23"/>
    <w:bookmarkStart w:id="24" w:name="working-year-plan"/>
    <w:p>
      <w:pPr>
        <w:pStyle w:val="Heading2"/>
      </w:pPr>
      <w:r>
        <w:t xml:space="preserve">Working Year Plan</w:t>
      </w:r>
    </w:p>
    <w:tbl>
      <w:tblPr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Year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Essential budget lines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Calculations to carry forward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Must confirm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Year 1: Aug 2027 - Jun 2028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PI/project management; heavy curriculum build; faculty release time; consultants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PI = 6 FLH. Curriculum = either raw 57 FLH or 75 x 70% = 52.5 FLH.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Use 75-FLH or 82-FLH model; salary/fringe/release-time treatment.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Year 2: Aug 2028 - Jun 2029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PI/project management; curriculum adjustment; student recruitment/preparation if approved; Center setup; equipment/furniture; Navigator starts mid-year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PI = 6 FLH. Curriculum = either raw 19 FLH or 75 x 20% = 15 FLH. Center scale assumption remains 5 x 4 = 20 students, but the full partner-facing Center should not be budget-narrated as running yet. Navigator = 0.5 year.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What belongs in NSF budget vs. FEOR/institutional support; exact Year 2 student/cohort language.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Year 3: Aug 2029 - Jun 2030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PI/project management; curriculum refinement; Navigator; Center Coordinator; evaluation; first full partner-facing Center cycle as readiness allows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PI = 6 FLH. Curriculum = either raw 6 FLH or 75 x 10% = 7.5 FLH. Navigator = 1 year. Center Coordinator = 1 year.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Role classifications, rates, evaluator line, and Center operating costs.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Year 4: Aug 2030 - Jun 2031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PI/project management; Navigator; Center Coordinator; evaluation, revision, dissemination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PI = 6 FLH. Navigator = 1 year. Center Coordinator = 1 year.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Year 4 is confirmed as allowable and strategically preferred; confirm only the final effort/cost treatment.</w:t>
            </w:r>
          </w:p>
        </w:tc>
      </w:tr>
    </w:tbl>
    <w:bookmarkEnd w:id="24"/>
    <w:bookmarkStart w:id="25" w:name="placeholder-dollar-lines"/>
    <w:p>
      <w:pPr>
        <w:pStyle w:val="Heading2"/>
      </w:pPr>
      <w:r>
        <w:t xml:space="preserve">Placeholder Dollar Lines</w:t>
      </w:r>
    </w:p>
    <w:tbl>
      <w:tblPr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2376"/>
        <w:gridCol w:w="3168"/>
        <w:gridCol w:w="2376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Line</w:t>
            </w:r>
          </w:p>
        </w:tc>
        <w:tc>
          <w:tcPr>
            <w:shd w:val="clear" w:color="auto" w:fill="1F4E79"/>
          </w:tcPr>
          <w:p>
            <w:pPr>
              <w:jc w:val="right"/>
            </w:pPr>
            <w:r>
              <w:rPr>
                <w:sz w:val="16"/>
                <w:szCs w:val="16"/>
                <w:b/>
                <w:color w:val="FFFFFF"/>
              </w:rPr>
              <w:t xml:space="preserve">Working amount / calculation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Confirm before formal budget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Project management + curriculum development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~$150,000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Map to FLH, release time, summer salary, academic-year effort, fringe, or mixed model.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Navigator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~$200,000 total; $200,000 / 2.5 years = $80,000/year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Classification, salary, fringe, and start/end dates.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Center Coordinator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~$150,000 total; $150,000 / 2 years = $75,000/year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Funded role vs. existing office support vs. shared practicum capacity.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Technical purchases / equipment / furniture</w:t>
            </w:r>
          </w:p>
        </w:tc>
        <w:tc>
          <w:tcPr>
            <w:shd w:val="clear" w:color="auto" w:fill="F4F7FA"/>
          </w:tcPr>
          <w:p>
            <w:pPr>
              <w:jc w:val="right"/>
            </w:pPr>
            <w:r>
              <w:rPr>
                <w:sz w:val="16"/>
                <w:szCs w:val="16"/>
              </w:rPr>
              <w:t xml:space="preserve">~$250,000; if spread across five teams, $250,000 / 5 = $50,000/team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Allowability, timing, and whether this belongs in budget, FEOR, or institutional support.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Indirect costs</w:t>
            </w:r>
          </w:p>
        </w:tc>
        <w:tc>
          <w:tcPr/>
          <w:p>
            <w:pPr>
              <w:jc w:val="right"/>
            </w:pPr>
            <w:r>
              <w:rPr>
                <w:sz w:val="16"/>
                <w:szCs w:val="16"/>
              </w:rPr>
              <w:t xml:space="preserve">40% placeholder; actual base TBD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Correct IDC rate, base, exclusions, and routing rule.</w:t>
            </w:r>
          </w:p>
        </w:tc>
      </w:tr>
    </w:tbl>
    <w:bookmarkEnd w:id="25"/>
    <w:bookmarkStart w:id="26" w:name="decisions-needed"/>
    <w:p>
      <w:pPr>
        <w:pStyle w:val="Heading2"/>
      </w:pPr>
      <w:r>
        <w:t xml:space="preserve">Decisions Needed</w:t>
      </w:r>
    </w:p>
    <w:p>
      <w:pPr/>
      <w:r>
        <w:t xml:space="preserve">Choose the controlling curriculum-effort model: 75 FLH or 82 FLH.</w:t>
      </w:r>
    </w:p>
    <w:p>
      <w:pPr/>
      <w:r>
        <w:t xml:space="preserve">Confirm PI/project-management effort: 6 FLH/year, fewer years, or a different mechanism.</w:t>
      </w:r>
    </w:p>
    <w:p>
      <w:pPr/>
      <w:r>
        <w:t xml:space="preserve">Confirm how faculty release time should be budgeted.</w:t>
      </w:r>
    </w:p>
    <w:p>
      <w:pPr/>
      <w:r>
        <w:t xml:space="preserve">Confirm Navigator cost, classification, and 2.5-year timing.</w:t>
      </w:r>
    </w:p>
    <w:p>
      <w:pPr/>
      <w:r>
        <w:t xml:space="preserve">Confirm Center Coordinator cost, classification, and 2-year timing.</w:t>
      </w:r>
    </w:p>
    <w:p>
      <w:pPr/>
      <w:r>
        <w:t xml:space="preserve">Confirm evaluator budget line and procurement language.</w:t>
      </w:r>
    </w:p>
    <w:p>
      <w:pPr/>
      <w:r>
        <w:t xml:space="preserve">Confirm what equipment/furniture belongs in the NSF budget.</w:t>
      </w:r>
    </w:p>
    <w:p>
      <w:pPr/>
      <w:r>
        <w:t xml:space="preserve">Use a four-year project period; confirm only the final budget/routing treatment for Year 4 costs.</w:t>
      </w:r>
    </w:p>
    <w:p>
      <w:pPr/>
      <w:r>
        <w:t xml:space="preserve">Confirm indirect-cost rate/base before using the $1.05M illustrative total.</w:t>
      </w:r>
    </w:p>
    <w:p>
      <w:pPr/>
      <w:r>
        <w:t xml:space="preserve">Confirm workload limits for non-teaching FLH, summer effort, and any hourly staff coordination support.</w:t>
      </w:r>
    </w:p>
    <w:bookmarkEnd w:id="26"/>
    <w:bookmarkEnd w:id="27"/>
    <w:sectPr>
      <w:pgSz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2026-06-30T16:14:59Z</dcterms:created>
  <dcterms:modified xsi:type="dcterms:W3CDTF">2026-06-30T16:14:59Z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